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The Banker’s Technology Awards 2026: Category Definitions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Artificial intelligence and machine learning:</w:t>
      </w:r>
      <w:r w:rsidDel="00000000" w:rsidR="00000000" w:rsidRPr="00000000">
        <w:rPr>
          <w:rtl w:val="0"/>
        </w:rPr>
        <w:t xml:space="preserve"> Initiatives using artificial intelligence, machine and deep learning, including generative AI and natural language processing, to improve areas such as customer service, fraud prevention, advisory services, decision-making and core operations. Entries should demonstrate appropriate governance, controls and measurable impact.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Bank/Fintech partnership:</w:t>
      </w:r>
      <w:r w:rsidDel="00000000" w:rsidR="00000000" w:rsidRPr="00000000">
        <w:rPr>
          <w:rtl w:val="0"/>
        </w:rPr>
        <w:t xml:space="preserve"> A successful commercial partnership between an established bank and a fintech or technology provider that resulted in a usable, scalable product or service, including embedded finance, platform-based models or infrastructure partnerships.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Cyber security: </w:t>
      </w:r>
      <w:r w:rsidDel="00000000" w:rsidR="00000000" w:rsidRPr="00000000">
        <w:rPr>
          <w:rtl w:val="0"/>
        </w:rPr>
        <w:t xml:space="preserve">Initiatives that strengthen a bank’s cyber security and operational resilience, including protection against cyber threats, data breaches and system disruption. This may include identity and access management, encryption, endpoint and cloud security, threat detection, incident response and resilience capabilities.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Digital assets: </w:t>
      </w:r>
      <w:r w:rsidDel="00000000" w:rsidR="00000000" w:rsidRPr="00000000">
        <w:rPr>
          <w:rtl w:val="0"/>
        </w:rPr>
        <w:t xml:space="preserve">Bank-led or bank-enabled initiatives using digital assets and distributed ledger technology. These can include the use of cash-like instruments (including tokenised deposits, stablecoins and central bank digital currencies), tokenised securities, as well as supporting infrastructure such as custody, compliance and risk controls).</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Financial health:</w:t>
      </w:r>
      <w:r w:rsidDel="00000000" w:rsidR="00000000" w:rsidRPr="00000000">
        <w:rPr>
          <w:rtl w:val="0"/>
        </w:rPr>
        <w:t xml:space="preserve"> Initiatives that improve the financial resilience and wellbeing of individuals and businesses, providing access to useful and affordable financial products and services, including payments, savings and credit, delivered in a responsible, transparent and sustainable way.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Mobile:</w:t>
      </w:r>
      <w:r w:rsidDel="00000000" w:rsidR="00000000" w:rsidRPr="00000000">
        <w:rPr>
          <w:rtl w:val="0"/>
        </w:rPr>
        <w:t xml:space="preserve"> Initiatives that enhance digital customer engagement through mobile-first experiences, including personalisation, security, real-time services and seamless access across devices.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Open banking:</w:t>
      </w:r>
      <w:r w:rsidDel="00000000" w:rsidR="00000000" w:rsidRPr="00000000">
        <w:rPr>
          <w:rtl w:val="0"/>
        </w:rPr>
        <w:t xml:space="preserve"> Initiatives that support open banking and open finance through the use of APIs, data sharing and platform-based models, enabling third-party services, ecosystem participation and innovation while maintaining strong customer controls.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Payments:</w:t>
      </w:r>
      <w:r w:rsidDel="00000000" w:rsidR="00000000" w:rsidRPr="00000000">
        <w:rPr>
          <w:rtl w:val="0"/>
        </w:rPr>
        <w:t xml:space="preserve"> Retail initiatives could include mobile, cards, online payments, QR codes, NFC, services that are built on faster payment rails. Wholesale projects could include cross-border payments, tracking, clearing and settlement, cash management and merchant services.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Risk management:</w:t>
      </w:r>
      <w:r w:rsidDel="00000000" w:rsidR="00000000" w:rsidRPr="00000000">
        <w:rPr>
          <w:rtl w:val="0"/>
        </w:rPr>
        <w:t xml:space="preserve"> Solutions that mitigate financial, operational or systemic risk for banks or their clients, including credit, market, liquidity, model, climate and operational risk management, stress testing and real-time risk monitoring.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Transformation project:</w:t>
      </w:r>
      <w:r w:rsidDel="00000000" w:rsidR="00000000" w:rsidRPr="00000000">
        <w:rPr>
          <w:rtl w:val="0"/>
        </w:rPr>
        <w:t xml:space="preserve"> A successful transformation project using technology to enact cultural, organisational and/or operational change at a bank. Evidence of improvements to bank offerings, process automation, customer experience, data integration, organisational flexibility and sales.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DvdaWz4If8NNz7gsfwGEl+5uw==">CgMxLjA4AHIhMVdxOHc0enF2R0ZNUUZNc2VIYW1KSWJLaGo5RTN5bnBV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